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AB" w:rsidRPr="00FE5E07" w:rsidRDefault="00B823AB" w:rsidP="00B823AB">
      <w:pPr>
        <w:rPr>
          <w:rFonts w:ascii="仿宋" w:eastAsia="仿宋" w:hAnsi="仿宋"/>
          <w:color w:val="auto"/>
          <w:sz w:val="32"/>
          <w:szCs w:val="32"/>
          <w:lang w:eastAsia="zh-CN"/>
        </w:rPr>
      </w:pPr>
      <w:r w:rsidRPr="00FE5E07">
        <w:rPr>
          <w:rFonts w:ascii="仿宋" w:eastAsia="仿宋" w:hAnsi="仿宋" w:hint="eastAsia"/>
          <w:color w:val="auto"/>
          <w:sz w:val="32"/>
          <w:szCs w:val="32"/>
          <w:lang w:eastAsia="zh-CN"/>
        </w:rPr>
        <w:t>附件二：</w:t>
      </w:r>
    </w:p>
    <w:p w:rsidR="00B823AB" w:rsidRDefault="00B823AB" w:rsidP="00B823AB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bookmarkStart w:id="0" w:name="_Hlk88834953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中南</w:t>
      </w:r>
      <w:proofErr w:type="gramStart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财经政法</w:t>
      </w:r>
      <w:proofErr w:type="gramEnd"/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大学</w:t>
      </w:r>
      <w:r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推免生</w:t>
      </w:r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学科竞赛</w:t>
      </w:r>
    </w:p>
    <w:p w:rsidR="00B823AB" w:rsidRPr="00FE5E07" w:rsidRDefault="00B823AB" w:rsidP="00B823AB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</w:pPr>
      <w:r w:rsidRPr="00FE5E07">
        <w:rPr>
          <w:rFonts w:ascii="仿宋" w:eastAsia="仿宋" w:hAnsi="仿宋" w:hint="eastAsia"/>
          <w:b/>
          <w:color w:val="auto"/>
          <w:kern w:val="2"/>
          <w:sz w:val="32"/>
          <w:szCs w:val="32"/>
          <w:shd w:val="clear" w:color="auto" w:fill="FFFFFF"/>
          <w:lang w:eastAsia="zh-CN" w:bidi="ar-SA"/>
        </w:rPr>
        <w:t>奖励加分实施细则（试行）</w:t>
      </w:r>
      <w:bookmarkEnd w:id="0"/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学校本科生（含新生，以下简称学生）参加中国国际“互联网+”大学生创新创业大赛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“挑战杯”全国大学生课外学术科技作品竞赛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“挑战杯”全国大学生创业计划竞赛等学科竞赛，</w:t>
      </w:r>
      <w:r w:rsidRPr="00912E51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作品</w:t>
      </w:r>
      <w:r w:rsidRPr="00912E51">
        <w:rPr>
          <w:rFonts w:ascii="仿宋" w:eastAsia="仿宋" w:hAnsi="仿宋" w:cs="仿宋" w:hint="eastAsia"/>
          <w:color w:val="auto"/>
          <w:sz w:val="32"/>
          <w:szCs w:val="32"/>
          <w:lang w:eastAsia="zh-CN"/>
        </w:rPr>
        <w:t>入选全国大学生创新创业年会，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且符合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推免生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基本条件的，享受以下奖励加分政策。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一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、中国国际“互联网+”大学生创新创业大赛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获全国金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25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排名第四至第六位奖励15分，第七至第十位奖励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分，第十一至十五位奖励5分；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获全国银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0分、15分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排名第四至第六位奖励12分，第七至第十位奖励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8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分，第十一至十五位奖励4分；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获全国铜奖者，排名第一至第三位先后分别奖励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2分、18分、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排名第四至第六位奖励10分，第七至第十位奖励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分，第十一至十五位奖励3分；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省金奖者，排名第一至第三位先后分别奖励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排名第四至第六位奖励8分，第七至第十位奖励5分，第十一至十五位奖励2分；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省银奖者，排名第一至第三位先后分别奖励10分、8分、6分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 xml:space="preserve">排名第四至第六位奖励4分，第七至第十位奖励3分，第十一至十五位奖励2分；  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省铜奖者，排名第一至第三位先后分别奖励5分、4分、3分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排名第四至第六位奖励2分，第七至第十位奖励1.5分，第十一至十五位奖励1分。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、“挑战杯”全国大学生课外学术科技作品竞赛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获全国特等奖者，排名第一至第三位先后分别奖励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7分、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排名第四至第六位奖励20分，第七至第十位奖励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获全国一等奖者，排名第一至第三位先后分别奖27分、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lastRenderedPageBreak/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5分、22分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排名第四至第六位奖励18分，第七至第十位奖励12分；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获全国二等奖者，排名第一至第三位先后分别奖励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2分、20分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排名第四至第六位奖励15分，第七至第十位奖励10分；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获全国三等奖者，排名第一至第三位先后分别奖励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2分、20分、18分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 10分，第七至第十位奖励8分；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获全省特等奖者，排名第一至第三位先后分别奖励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0分、18分、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排名第四至第六位奖励8分，第七至第十位奖励6分；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6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省一等奖者，排名第一至第三位先后分别奖励15分、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3分、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排名第四至第六位奖励5分，第七至第十位奖励3分；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7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省二等奖者，排名第一至第三位先后分别奖励10分、8分、6分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排名第四至第六位奖励4分，第七至第十位奖励2分；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8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省三等奖者，排名第一至第三位先后分别奖励5分、4分、3分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排名第四至第六位奖励2分，第七至第十位奖励1分。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三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、“挑战杯”全国大学生创业计划竞赛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获全国金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25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排名第四至第六位奖励15分，第七至第十位奖励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获全国银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奖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0分、15分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排名第四至第六位奖励12分，第七至第十位奖励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8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获全国铜奖者，排名第一至第三位先后分别奖励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2分、18分、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排名第四至第六位奖励10分，第七至第十位奖励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4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省金奖者，排名第一至第三位先后分别奖励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2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5分、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1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0分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排名第四至第六位奖励8分，第七至第十位奖励5分；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lastRenderedPageBreak/>
        <w:t>5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省银奖者，排名第一至第三位先后分别奖励10分、8分、6分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排名第四至第六位奖励4分，第七至第十位奖励2分；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6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获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全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省铜奖者，排名第一至第三位先后分别奖励5分、4分、3分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排名第四至第六位奖励2分，第七至第十位奖励1分。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四、全国大学生创新创业年会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1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作品入选全国大学生创新创业年会并做专题发言的，作者或负责人奖励25分，成员奖励10分；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2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.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作品入选全国大学生创新创业年会推介展示的，作者或项目负责人奖励20分，成员奖励5分。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学生符合上述奖励加分政策，累计奖励加分不得超过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30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分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，学生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同一项目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获同一项学科竞赛不同等级奖励只取一次最高奖励分，不累加。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除以上奖励外，学生参加其他学科竞赛等各类奖励（含以上</w:t>
      </w:r>
      <w:r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竞赛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校赛）加分，依据学校、学院有关规定</w:t>
      </w:r>
      <w:proofErr w:type="gramStart"/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汇总再</w:t>
      </w:r>
      <w:proofErr w:type="gramEnd"/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按15%折算后加入综合评定成绩。</w:t>
      </w:r>
    </w:p>
    <w:p w:rsidR="00B823AB" w:rsidRPr="00E35507" w:rsidRDefault="00B823AB" w:rsidP="00B823AB">
      <w:pPr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以上如有未尽事宜，以校团委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（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创业学院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>）</w:t>
      </w: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>解释为准。</w:t>
      </w:r>
    </w:p>
    <w:p w:rsidR="00B823AB" w:rsidRPr="00E35507" w:rsidRDefault="00B823AB" w:rsidP="00B823AB">
      <w:pPr>
        <w:adjustRightInd w:val="0"/>
        <w:snapToGrid w:val="0"/>
        <w:ind w:firstLineChars="200" w:firstLine="640"/>
        <w:jc w:val="both"/>
        <w:rPr>
          <w:rFonts w:ascii="仿宋" w:eastAsia="仿宋" w:hAnsi="仿宋" w:cs="仿宋"/>
          <w:color w:val="auto"/>
          <w:sz w:val="32"/>
          <w:szCs w:val="32"/>
          <w:lang w:eastAsia="zh-CN" w:bidi="zh-TW"/>
        </w:rPr>
      </w:pPr>
      <w:r w:rsidRPr="00E35507">
        <w:rPr>
          <w:rFonts w:ascii="仿宋" w:eastAsia="仿宋" w:hAnsi="仿宋" w:cs="仿宋" w:hint="eastAsia"/>
          <w:color w:val="auto"/>
          <w:sz w:val="32"/>
          <w:szCs w:val="32"/>
          <w:lang w:eastAsia="zh-CN" w:bidi="zh-TW"/>
        </w:rPr>
        <w:t xml:space="preserve"> </w:t>
      </w:r>
      <w:r w:rsidRPr="00E35507"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 xml:space="preserve"> </w:t>
      </w:r>
      <w:r>
        <w:rPr>
          <w:rFonts w:ascii="仿宋" w:eastAsia="仿宋" w:hAnsi="仿宋" w:cs="仿宋"/>
          <w:color w:val="auto"/>
          <w:sz w:val="32"/>
          <w:szCs w:val="32"/>
          <w:lang w:eastAsia="zh-CN" w:bidi="zh-TW"/>
        </w:rPr>
        <w:t xml:space="preserve">                    </w:t>
      </w:r>
    </w:p>
    <w:p w:rsidR="00A662EF" w:rsidRDefault="00B823AB">
      <w:pPr>
        <w:rPr>
          <w:lang w:eastAsia="zh-CN"/>
        </w:rPr>
      </w:pPr>
      <w:bookmarkStart w:id="1" w:name="_GoBack"/>
      <w:bookmarkEnd w:id="1"/>
    </w:p>
    <w:sectPr w:rsidR="00A662EF" w:rsidSect="00B823AB">
      <w:pgSz w:w="11900" w:h="16840"/>
      <w:pgMar w:top="1440" w:right="1800" w:bottom="1440" w:left="1800" w:header="0" w:footer="3" w:gutter="0"/>
      <w:cols w:space="2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AB"/>
    <w:rsid w:val="001E7B2C"/>
    <w:rsid w:val="005560E1"/>
    <w:rsid w:val="00B8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88787-739E-449A-9377-D2F376B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823AB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王运达</dc:creator>
  <cp:keywords/>
  <dc:description/>
  <cp:lastModifiedBy>王运达</cp:lastModifiedBy>
  <cp:revision>1</cp:revision>
  <dcterms:created xsi:type="dcterms:W3CDTF">2021-11-30T00:39:00Z</dcterms:created>
  <dcterms:modified xsi:type="dcterms:W3CDTF">2021-11-30T00:39:00Z</dcterms:modified>
</cp:coreProperties>
</file>